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both"/>
        <w:rPr>
          <w:rFonts w:hint="default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tbl>
      <w:tblPr>
        <w:tblStyle w:val="6"/>
        <w:tblW w:w="14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20"/>
        <w:gridCol w:w="1021"/>
        <w:gridCol w:w="1402"/>
        <w:gridCol w:w="654"/>
        <w:gridCol w:w="3992"/>
        <w:gridCol w:w="2765"/>
        <w:gridCol w:w="1071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tblHeader/>
        </w:trPr>
        <w:tc>
          <w:tcPr>
            <w:tcW w:w="1413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方正小标宋简体" w:hAnsi="仿宋" w:eastAsia="方正小标宋简体"/>
                <w:bCs/>
                <w:sz w:val="44"/>
                <w:szCs w:val="44"/>
                <w:highlight w:val="none"/>
              </w:rPr>
              <w:t>贵州省</w:t>
            </w:r>
            <w:r>
              <w:rPr>
                <w:rFonts w:hint="eastAsia" w:ascii="方正小标宋简体" w:hAnsi="仿宋" w:eastAsia="方正小标宋简体"/>
                <w:bCs/>
                <w:sz w:val="44"/>
                <w:szCs w:val="44"/>
                <w:highlight w:val="none"/>
                <w:lang w:val="en-US" w:eastAsia="zh-CN"/>
              </w:rPr>
              <w:t>第四批</w:t>
            </w:r>
            <w:r>
              <w:rPr>
                <w:rFonts w:hint="eastAsia" w:ascii="方正小标宋简体" w:hAnsi="仿宋" w:eastAsia="方正小标宋简体"/>
                <w:bCs/>
                <w:sz w:val="44"/>
                <w:szCs w:val="44"/>
                <w:highlight w:val="none"/>
              </w:rPr>
              <w:t>拟招聘高校产业导师岗位需求表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47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  <w:lang w:val="en-US" w:eastAsia="zh-CN"/>
              </w:rPr>
              <w:t>聘任单位</w:t>
            </w:r>
          </w:p>
        </w:tc>
        <w:tc>
          <w:tcPr>
            <w:tcW w:w="102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岗位名称</w:t>
            </w:r>
          </w:p>
        </w:tc>
        <w:tc>
          <w:tcPr>
            <w:tcW w:w="140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研究方向</w:t>
            </w:r>
          </w:p>
        </w:tc>
        <w:tc>
          <w:tcPr>
            <w:tcW w:w="654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  <w:lang w:val="en-US" w:eastAsia="zh-CN"/>
              </w:rPr>
              <w:t>聘任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数量</w:t>
            </w:r>
          </w:p>
        </w:tc>
        <w:tc>
          <w:tcPr>
            <w:tcW w:w="399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岗位职责简述</w:t>
            </w:r>
          </w:p>
        </w:tc>
        <w:tc>
          <w:tcPr>
            <w:tcW w:w="27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专业指导要求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对应领域</w:t>
            </w:r>
          </w:p>
        </w:tc>
        <w:tc>
          <w:tcPr>
            <w:tcW w:w="17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highlight w:val="none"/>
              </w:rPr>
              <w:t>产业导师来源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</w:trPr>
        <w:tc>
          <w:tcPr>
            <w:tcW w:w="4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贵州大学</w:t>
            </w:r>
          </w:p>
        </w:tc>
        <w:tc>
          <w:tcPr>
            <w:tcW w:w="10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结构工程专业类别硕士研究生导师</w:t>
            </w:r>
          </w:p>
        </w:tc>
        <w:tc>
          <w:tcPr>
            <w:tcW w:w="14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装配式建筑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产业化</w:t>
            </w:r>
          </w:p>
        </w:tc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3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00" w:firstLineChars="200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参与高校学科团队建设，推动所在企业与高校联合开展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eastAsia="zh-CN"/>
              </w:rPr>
              <w:t>装配式建筑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产业化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相关科研项目研究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承担高校科研成果中试放大和产业化基地建设，积极转化高科技创新成果，推动所在企业成为高校教学和实习基地，创造条件吸纳高校毕业生就业。</w:t>
            </w:r>
          </w:p>
        </w:tc>
        <w:tc>
          <w:tcPr>
            <w:tcW w:w="27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具有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土木工程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专业背景；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具有培训学生所需的科研场所，仪器设备及科研经费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具有副高以上职称。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重要产业备份（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eastAsia="zh-CN"/>
              </w:rPr>
              <w:t>建筑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业）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领域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科研院所；中职、高职院校；大型国有企业；大型民营企业；工程技术在国内外有影响的企业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4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贵州大学</w:t>
            </w:r>
          </w:p>
        </w:tc>
        <w:tc>
          <w:tcPr>
            <w:tcW w:w="10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土木工程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专业类别硕士研究生导师</w:t>
            </w:r>
          </w:p>
        </w:tc>
        <w:tc>
          <w:tcPr>
            <w:tcW w:w="140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隧道工程</w:t>
            </w:r>
          </w:p>
        </w:tc>
        <w:tc>
          <w:tcPr>
            <w:tcW w:w="6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3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00" w:firstLineChars="200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参与高校学科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未来交通科技创新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团队建设，推动所在企业与高校联合开展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隧道排水管道检测去堵智能机器人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相关科研项目研究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承担高校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管道检测去堵智能机器人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科研成果中试放大和产业化基地建设，积极转化高科技创新成果，推动所在企业成为高校教学和实习基地，创造条件吸纳高校毕业生就业。</w:t>
            </w:r>
          </w:p>
        </w:tc>
        <w:tc>
          <w:tcPr>
            <w:tcW w:w="27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具有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土木工程、机械工程或交通工程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专业背景；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具有培训学生所需的科研场所，仪器设备及科研经费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具有副高以上职称。</w:t>
            </w:r>
          </w:p>
        </w:tc>
        <w:tc>
          <w:tcPr>
            <w:tcW w:w="107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eastAsia="zh-CN"/>
              </w:rPr>
              <w:t>新型城镇化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</w:rPr>
              <w:t>领域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科研院所；中职、高职院校；大型国有企业；大型民营企业；工程技术在国内外有影响的企业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</w:tbl>
    <w:p>
      <w:pPr>
        <w:rPr>
          <w:highlight w:val="red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41E34E-6F22-4035-B635-7D025F4922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8AA3A46-18DF-4397-8211-F4247106AE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F46C572-02BF-4D3A-9FF9-F65C1B0F63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8B68253-6700-47FE-AEA7-8134A86521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4B5C4"/>
    <w:multiLevelType w:val="singleLevel"/>
    <w:tmpl w:val="A134B5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524C1"/>
    <w:multiLevelType w:val="singleLevel"/>
    <w:tmpl w:val="080524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MzU3OWIxNWE3MzdjZDllMTRjNjhmMmJmODMyMmQifQ=="/>
  </w:docVars>
  <w:rsids>
    <w:rsidRoot w:val="00000000"/>
    <w:rsid w:val="01F86F46"/>
    <w:rsid w:val="06283AFF"/>
    <w:rsid w:val="0C127CFF"/>
    <w:rsid w:val="0C9C007A"/>
    <w:rsid w:val="0FD05D32"/>
    <w:rsid w:val="146E19D3"/>
    <w:rsid w:val="1B9301EB"/>
    <w:rsid w:val="23DD252D"/>
    <w:rsid w:val="25A808D8"/>
    <w:rsid w:val="25DD5BFC"/>
    <w:rsid w:val="279D5475"/>
    <w:rsid w:val="284103DF"/>
    <w:rsid w:val="29680275"/>
    <w:rsid w:val="2E0E71B7"/>
    <w:rsid w:val="2F9737EB"/>
    <w:rsid w:val="301F1C90"/>
    <w:rsid w:val="34D01ABE"/>
    <w:rsid w:val="351152BA"/>
    <w:rsid w:val="3A8C0AFF"/>
    <w:rsid w:val="3EE81E75"/>
    <w:rsid w:val="42B905DF"/>
    <w:rsid w:val="441E480B"/>
    <w:rsid w:val="45B440C0"/>
    <w:rsid w:val="467E3C34"/>
    <w:rsid w:val="4B3A5416"/>
    <w:rsid w:val="4BCB57E7"/>
    <w:rsid w:val="4E555E2E"/>
    <w:rsid w:val="50B62A94"/>
    <w:rsid w:val="5781530D"/>
    <w:rsid w:val="57D50A25"/>
    <w:rsid w:val="5C6544E0"/>
    <w:rsid w:val="5CA222C3"/>
    <w:rsid w:val="60176451"/>
    <w:rsid w:val="61BC7A87"/>
    <w:rsid w:val="64882F59"/>
    <w:rsid w:val="64FB0FAB"/>
    <w:rsid w:val="66B362C2"/>
    <w:rsid w:val="6F5F3649"/>
    <w:rsid w:val="72831DA3"/>
    <w:rsid w:val="770A2760"/>
    <w:rsid w:val="7BD141FB"/>
    <w:rsid w:val="7C0219AB"/>
    <w:rsid w:val="7C95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autoRedefine/>
    <w:qFormat/>
    <w:uiPriority w:val="0"/>
    <w:pPr>
      <w:widowControl w:val="0"/>
    </w:pPr>
    <w:rPr>
      <w:rFonts w:ascii="Calibri" w:hAnsi="Calibri" w:eastAsia="Calibri" w:cs="Calibri"/>
      <w:color w:val="000000"/>
      <w:sz w:val="24"/>
      <w:szCs w:val="24"/>
      <w:u w:val="none" w:color="000000"/>
      <w:lang w:val="en-US" w:eastAsia="zh-CN" w:bidi="ar-SA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293</Characters>
  <Lines>0</Lines>
  <Paragraphs>0</Paragraphs>
  <TotalTime>59</TotalTime>
  <ScaleCrop>false</ScaleCrop>
  <LinksUpToDate>false</LinksUpToDate>
  <CharactersWithSpaces>293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2020-09-03T07:15:00Z</dcterms:created>
  <dc:creator>Administrator</dc:creator>
  <cp:lastModifiedBy>wzzf5183</cp:lastModifiedBy>
  <cp:lastPrinted>2021-07-26T01:22:00Z</cp:lastPrinted>
  <dcterms:modified xsi:type="dcterms:W3CDTF">2024-01-22T08:08:33Z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A3C121896743404184F89C04CD812995</vt:lpwstr>
  </property>
</Properties>
</file>